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59" w:rsidRDefault="00DA2B59" w:rsidP="00DA2B59">
      <w:pPr>
        <w:pStyle w:val="a3"/>
      </w:pPr>
      <w:r>
        <w:t>МИНИСТЕРСТВО ЗДРАВООХРАНЕНИЯ РОССИЙСКОЙ ФЕДЕРАЦИИ</w:t>
      </w:r>
    </w:p>
    <w:p w:rsidR="00DA2B59" w:rsidRDefault="00DA2B59" w:rsidP="00DA2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по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E72AA">
        <w:rPr>
          <w:rFonts w:ascii="Times New Roman" w:hAnsi="Times New Roman"/>
          <w:spacing w:val="-1"/>
          <w:sz w:val="24"/>
          <w:szCs w:val="24"/>
        </w:rPr>
        <w:t>медицинскому применению лекарственного препарата</w:t>
      </w:r>
    </w:p>
    <w:p w:rsidR="00DA2B59" w:rsidRPr="00E85C17" w:rsidRDefault="00B55134" w:rsidP="00E85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МУРАВЬИНЫЙ СПИРТ</w:t>
      </w:r>
    </w:p>
    <w:p w:rsidR="000033C6" w:rsidRDefault="00DA2B59" w:rsidP="000033C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0033C6" w:rsidRPr="000033C6" w:rsidRDefault="00DA2B59" w:rsidP="000033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Торговое </w:t>
      </w:r>
      <w:r w:rsidR="00AE72AA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54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134">
        <w:rPr>
          <w:rFonts w:ascii="Times New Roman" w:hAnsi="Times New Roman" w:cs="Times New Roman"/>
          <w:sz w:val="24"/>
          <w:szCs w:val="24"/>
        </w:rPr>
        <w:t xml:space="preserve">Муравьиный спирт </w:t>
      </w:r>
    </w:p>
    <w:p w:rsidR="000033C6" w:rsidRPr="000033C6" w:rsidRDefault="00DA2B59" w:rsidP="000033C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Междунар</w:t>
      </w:r>
      <w:r w:rsidR="005C411D">
        <w:rPr>
          <w:rFonts w:ascii="Times New Roman" w:hAnsi="Times New Roman" w:cs="Times New Roman"/>
          <w:b/>
          <w:bCs/>
          <w:sz w:val="24"/>
          <w:szCs w:val="24"/>
        </w:rPr>
        <w:t xml:space="preserve">одное непатентованное или </w:t>
      </w:r>
      <w:proofErr w:type="spellStart"/>
      <w:r w:rsidR="005C411D">
        <w:rPr>
          <w:rFonts w:ascii="Times New Roman" w:hAnsi="Times New Roman" w:cs="Times New Roman"/>
          <w:b/>
          <w:bCs/>
          <w:sz w:val="24"/>
          <w:szCs w:val="24"/>
        </w:rPr>
        <w:t>группировочное</w:t>
      </w:r>
      <w:proofErr w:type="spellEnd"/>
      <w:r w:rsidR="005C411D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154998">
        <w:rPr>
          <w:rFonts w:ascii="Times New Roman" w:hAnsi="Times New Roman" w:cs="Times New Roman"/>
          <w:b/>
          <w:bCs/>
          <w:sz w:val="24"/>
          <w:szCs w:val="24"/>
        </w:rPr>
        <w:t>именование</w:t>
      </w:r>
      <w:r w:rsidR="005C41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55134">
        <w:rPr>
          <w:rFonts w:ascii="Times New Roman" w:hAnsi="Times New Roman" w:cs="Times New Roman"/>
          <w:bCs/>
          <w:sz w:val="24"/>
          <w:szCs w:val="24"/>
        </w:rPr>
        <w:t>Муравьиная кислота</w:t>
      </w:r>
    </w:p>
    <w:p w:rsidR="000033C6" w:rsidRPr="000033C6" w:rsidRDefault="00DA2B59" w:rsidP="000033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="00154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11D">
        <w:rPr>
          <w:rFonts w:ascii="Times New Roman" w:hAnsi="Times New Roman" w:cs="Times New Roman"/>
          <w:sz w:val="24"/>
          <w:szCs w:val="24"/>
        </w:rPr>
        <w:t>раствор для наружного применения спиртовой</w:t>
      </w:r>
      <w:r w:rsidR="00154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8F" w:rsidRPr="001F2D5C" w:rsidRDefault="009745E0" w:rsidP="000033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="00154998">
        <w:rPr>
          <w:rFonts w:ascii="Times New Roman" w:hAnsi="Times New Roman" w:cs="Times New Roman"/>
          <w:b/>
          <w:bCs/>
          <w:sz w:val="24"/>
          <w:szCs w:val="24"/>
        </w:rPr>
        <w:t xml:space="preserve"> на 100 г: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B55134" w:rsidRPr="00380B89" w:rsidTr="00B55134">
        <w:tc>
          <w:tcPr>
            <w:tcW w:w="9464" w:type="dxa"/>
            <w:gridSpan w:val="2"/>
          </w:tcPr>
          <w:p w:rsidR="00B55134" w:rsidRPr="00380B89" w:rsidRDefault="00B55134" w:rsidP="000033C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Действующее вещество</w:t>
            </w:r>
            <w:r w:rsidRPr="00380B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</w:tr>
      <w:tr w:rsidR="00B55134" w:rsidRPr="00380B89" w:rsidTr="00B55134">
        <w:tc>
          <w:tcPr>
            <w:tcW w:w="7763" w:type="dxa"/>
          </w:tcPr>
          <w:p w:rsidR="00B55134" w:rsidRPr="00380B89" w:rsidRDefault="00B55134" w:rsidP="000033C6">
            <w:pPr>
              <w:pStyle w:val="1"/>
              <w:widowControl w:val="0"/>
              <w:spacing w:line="360" w:lineRule="auto"/>
              <w:jc w:val="left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Кислоты муравьиной</w:t>
            </w:r>
            <w:r w:rsidRPr="00380B8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5134" w:rsidRPr="00380B89" w:rsidRDefault="00B55134" w:rsidP="000033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</w:t>
            </w:r>
            <w:r w:rsidR="003C4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</w:t>
            </w:r>
          </w:p>
        </w:tc>
      </w:tr>
      <w:tr w:rsidR="00B55134" w:rsidRPr="00380B89" w:rsidTr="00B55134">
        <w:tc>
          <w:tcPr>
            <w:tcW w:w="9464" w:type="dxa"/>
            <w:gridSpan w:val="2"/>
          </w:tcPr>
          <w:p w:rsidR="00B55134" w:rsidRPr="00380B89" w:rsidRDefault="00181ACE" w:rsidP="000033C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Вспомогательное вещество</w:t>
            </w:r>
            <w:bookmarkStart w:id="0" w:name="_GoBack"/>
            <w:bookmarkEnd w:id="0"/>
            <w:r w:rsidR="00B55134" w:rsidRPr="00380B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B55134" w:rsidRPr="00380B89" w:rsidTr="00B55134">
        <w:tc>
          <w:tcPr>
            <w:tcW w:w="7763" w:type="dxa"/>
          </w:tcPr>
          <w:p w:rsidR="00B55134" w:rsidRPr="00706199" w:rsidRDefault="00B55134" w:rsidP="001549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Этанол (этиловый спирт) </w:t>
            </w:r>
            <w:r w:rsidR="00154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</w:tcPr>
          <w:p w:rsidR="00B55134" w:rsidRPr="00706199" w:rsidRDefault="00B55134" w:rsidP="0015499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54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 г</w:t>
            </w:r>
          </w:p>
        </w:tc>
      </w:tr>
    </w:tbl>
    <w:p w:rsidR="005D5976" w:rsidRPr="005D5976" w:rsidRDefault="005D5976" w:rsidP="000033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0033C6" w:rsidRPr="000033C6" w:rsidRDefault="00B55134" w:rsidP="000033C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Прозрачная бесцветная жидкость своеобразного резкого запаха. </w:t>
      </w:r>
    </w:p>
    <w:p w:rsidR="000033C6" w:rsidRPr="000033C6" w:rsidRDefault="005D5976" w:rsidP="000033C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Фармакотерапевическая</w:t>
      </w:r>
      <w:proofErr w:type="spellEnd"/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группа:</w:t>
      </w:r>
      <w:r w:rsidR="003C4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5AD7">
        <w:rPr>
          <w:rFonts w:ascii="Times New Roman" w:hAnsi="Times New Roman" w:cs="Times New Roman"/>
          <w:bCs/>
          <w:sz w:val="24"/>
          <w:szCs w:val="24"/>
        </w:rPr>
        <w:t>местнораздражаю</w:t>
      </w:r>
      <w:r w:rsidR="005C411D">
        <w:rPr>
          <w:rFonts w:ascii="Times New Roman" w:hAnsi="Times New Roman" w:cs="Times New Roman"/>
          <w:bCs/>
          <w:sz w:val="24"/>
          <w:szCs w:val="24"/>
        </w:rPr>
        <w:t>щее</w:t>
      </w:r>
      <w:proofErr w:type="spellEnd"/>
      <w:r w:rsidRPr="005D5976">
        <w:rPr>
          <w:rFonts w:ascii="Times New Roman" w:hAnsi="Times New Roman" w:cs="Times New Roman"/>
          <w:bCs/>
          <w:sz w:val="24"/>
          <w:szCs w:val="24"/>
        </w:rPr>
        <w:t xml:space="preserve"> средство</w:t>
      </w:r>
    </w:p>
    <w:p w:rsidR="000033C6" w:rsidRPr="000033C6" w:rsidRDefault="005D5976" w:rsidP="000033C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B55134">
        <w:rPr>
          <w:rFonts w:ascii="Times New Roman" w:hAnsi="Times New Roman" w:cs="Times New Roman"/>
          <w:bCs/>
          <w:sz w:val="24"/>
          <w:szCs w:val="24"/>
        </w:rPr>
        <w:t>М02АХ10</w:t>
      </w:r>
      <w:r w:rsidRPr="005D5976">
        <w:rPr>
          <w:rFonts w:ascii="Times New Roman" w:hAnsi="Times New Roman" w:cs="Times New Roman"/>
          <w:bCs/>
          <w:sz w:val="24"/>
          <w:szCs w:val="24"/>
        </w:rPr>
        <w:t>]</w:t>
      </w:r>
    </w:p>
    <w:p w:rsidR="00DA2B59" w:rsidRPr="005D5976" w:rsidRDefault="005D5976" w:rsidP="000033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:rsidR="000033C6" w:rsidRPr="000033C6" w:rsidRDefault="00B55134" w:rsidP="000033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Муравьиный спирт обладает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местнораздражающим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действием, расширяет сосуды, улучшает кровоснабжение тканей, уменьшает воспаление и боль. </w:t>
      </w:r>
    </w:p>
    <w:p w:rsidR="00566353" w:rsidRPr="00566353" w:rsidRDefault="00566353" w:rsidP="000033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FD68AC" w:rsidRDefault="00B55134" w:rsidP="000033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комплексной терапии при невралгии, миалгии, артралгии в качестве отвлекающего средства. </w:t>
      </w:r>
    </w:p>
    <w:p w:rsidR="00622285" w:rsidRPr="00622285" w:rsidRDefault="00622285" w:rsidP="000033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0033C6" w:rsidRPr="000033C6" w:rsidRDefault="00154998" w:rsidP="000033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Повышенная чувствительность к </w:t>
      </w:r>
      <w:r w:rsidR="00AE72AA">
        <w:rPr>
          <w:rFonts w:ascii="Times New Roman" w:hAnsi="Times New Roman" w:cs="Times New Roman"/>
          <w:sz w:val="24"/>
          <w:szCs w:val="24"/>
        </w:rPr>
        <w:t>любому из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препарата</w:t>
      </w:r>
      <w:r w:rsidR="00FD68AC">
        <w:rPr>
          <w:rFonts w:ascii="Times New Roman" w:hAnsi="Times New Roman" w:cs="Times New Roman"/>
          <w:sz w:val="24"/>
          <w:szCs w:val="24"/>
        </w:rPr>
        <w:t>, нарушен</w:t>
      </w:r>
      <w:r>
        <w:rPr>
          <w:rFonts w:ascii="Times New Roman" w:hAnsi="Times New Roman" w:cs="Times New Roman"/>
          <w:sz w:val="24"/>
          <w:szCs w:val="24"/>
        </w:rPr>
        <w:t xml:space="preserve">ие целостности кожных покровов или </w:t>
      </w:r>
      <w:r w:rsidR="00FD68AC">
        <w:rPr>
          <w:rFonts w:ascii="Times New Roman" w:hAnsi="Times New Roman" w:cs="Times New Roman"/>
          <w:sz w:val="24"/>
          <w:szCs w:val="24"/>
        </w:rPr>
        <w:t>воспалительные за</w:t>
      </w:r>
      <w:r w:rsidR="008B409C">
        <w:rPr>
          <w:rFonts w:ascii="Times New Roman" w:hAnsi="Times New Roman" w:cs="Times New Roman"/>
          <w:sz w:val="24"/>
          <w:szCs w:val="24"/>
        </w:rPr>
        <w:t>болевания кожи в месте предпола</w:t>
      </w:r>
      <w:r w:rsidR="00FD68AC">
        <w:rPr>
          <w:rFonts w:ascii="Times New Roman" w:hAnsi="Times New Roman" w:cs="Times New Roman"/>
          <w:sz w:val="24"/>
          <w:szCs w:val="24"/>
        </w:rPr>
        <w:t>гаемого нанесения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134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B5513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55134">
        <w:rPr>
          <w:rFonts w:ascii="Times New Roman" w:hAnsi="Times New Roman" w:cs="Times New Roman"/>
          <w:sz w:val="24"/>
          <w:szCs w:val="24"/>
        </w:rPr>
        <w:t>. дерматит, экзема)</w:t>
      </w:r>
      <w:r w:rsidR="00FD68AC">
        <w:rPr>
          <w:rFonts w:ascii="Times New Roman" w:hAnsi="Times New Roman" w:cs="Times New Roman"/>
          <w:sz w:val="24"/>
          <w:szCs w:val="24"/>
        </w:rPr>
        <w:t>.</w:t>
      </w:r>
      <w:r w:rsidR="00B55134">
        <w:rPr>
          <w:rFonts w:ascii="Times New Roman" w:hAnsi="Times New Roman" w:cs="Times New Roman"/>
          <w:sz w:val="24"/>
          <w:szCs w:val="24"/>
        </w:rPr>
        <w:t xml:space="preserve"> Беременность, период </w:t>
      </w:r>
      <w:r w:rsidR="00AE72AA">
        <w:rPr>
          <w:rFonts w:ascii="Times New Roman" w:hAnsi="Times New Roman" w:cs="Times New Roman"/>
          <w:sz w:val="24"/>
          <w:szCs w:val="24"/>
        </w:rPr>
        <w:t>лактации,</w:t>
      </w:r>
      <w:r w:rsidR="00B55134">
        <w:rPr>
          <w:rFonts w:ascii="Times New Roman" w:hAnsi="Times New Roman" w:cs="Times New Roman"/>
          <w:sz w:val="24"/>
          <w:szCs w:val="24"/>
        </w:rPr>
        <w:t xml:space="preserve"> детский возраст до 18 лет (в связи с отсутствием данных). </w:t>
      </w:r>
    </w:p>
    <w:p w:rsidR="00FD68AC" w:rsidRPr="00FD68AC" w:rsidRDefault="00AE72AA" w:rsidP="000033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 при беременности и в период лактации</w:t>
      </w:r>
    </w:p>
    <w:p w:rsidR="000033C6" w:rsidRDefault="00B55134" w:rsidP="000033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Противопоказано.</w:t>
      </w:r>
    </w:p>
    <w:p w:rsidR="00AE72AA" w:rsidRDefault="00AE72AA" w:rsidP="000033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2AA" w:rsidRPr="000033C6" w:rsidRDefault="00AE72AA" w:rsidP="000033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26" w:rsidRPr="008D058B" w:rsidRDefault="00C25C26" w:rsidP="000033C6">
      <w:pPr>
        <w:pStyle w:val="3"/>
        <w:rPr>
          <w:b/>
          <w:iCs/>
        </w:rPr>
      </w:pPr>
      <w:r w:rsidRPr="008D058B">
        <w:rPr>
          <w:b/>
          <w:iCs/>
        </w:rPr>
        <w:lastRenderedPageBreak/>
        <w:t>Способ применения и дозы</w:t>
      </w:r>
    </w:p>
    <w:p w:rsidR="000033C6" w:rsidRPr="000033C6" w:rsidRDefault="00FD68AC" w:rsidP="000033C6">
      <w:pPr>
        <w:pStyle w:val="3"/>
        <w:rPr>
          <w:iCs/>
        </w:rPr>
      </w:pPr>
      <w:r>
        <w:rPr>
          <w:iCs/>
        </w:rPr>
        <w:t xml:space="preserve">Наружно. </w:t>
      </w:r>
      <w:r w:rsidR="00B55134">
        <w:rPr>
          <w:iCs/>
        </w:rPr>
        <w:t xml:space="preserve">Растирают кожу в болезненной области. Курс лечения продолжается в зависимости от лечебного эффекта, но не более 1-2 недель. При необходимости курс можно повторять. </w:t>
      </w:r>
      <w:r w:rsidR="00AE72AA">
        <w:rPr>
          <w:iCs/>
        </w:rPr>
        <w:t xml:space="preserve">Если после лечения улучшения не наступает или появляются новые симптомы, необходимо проконсультироваться с врачом. В случае необходимости, пожалуйста, проконсультируйтесь с врачом перед применением лекарственного препарата. </w:t>
      </w:r>
    </w:p>
    <w:p w:rsidR="00DB1403" w:rsidRPr="00A777E4" w:rsidRDefault="00DB1403" w:rsidP="000033C6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:rsidR="000033C6" w:rsidRPr="000033C6" w:rsidRDefault="00AE72AA" w:rsidP="000033C6">
      <w:pPr>
        <w:pStyle w:val="3"/>
        <w:rPr>
          <w:iCs/>
        </w:rPr>
      </w:pPr>
      <w:r>
        <w:rPr>
          <w:iCs/>
        </w:rPr>
        <w:t>Гиперемия, зуд</w:t>
      </w:r>
      <w:r w:rsidR="00B55134">
        <w:rPr>
          <w:iCs/>
        </w:rPr>
        <w:t xml:space="preserve">, аллергические реакции. </w:t>
      </w:r>
      <w:r>
        <w:rPr>
          <w:iCs/>
        </w:rPr>
        <w:t xml:space="preserve">Если любые из указанных в инструкции побочных эффектов усугубляются, или Вы заметили любые другие побочные </w:t>
      </w:r>
      <w:r w:rsidR="00AE1DEB">
        <w:rPr>
          <w:iCs/>
        </w:rPr>
        <w:t>эффекты, не указанные в инструкции, сообщите об этом врачу.</w:t>
      </w:r>
    </w:p>
    <w:p w:rsidR="00A777E4" w:rsidRPr="00A777E4" w:rsidRDefault="00A777E4" w:rsidP="000033C6">
      <w:pPr>
        <w:pStyle w:val="3"/>
        <w:rPr>
          <w:b/>
          <w:iCs/>
        </w:rPr>
      </w:pPr>
      <w:r w:rsidRPr="00A777E4">
        <w:rPr>
          <w:b/>
          <w:iCs/>
        </w:rPr>
        <w:t>Передозировка</w:t>
      </w:r>
    </w:p>
    <w:p w:rsidR="004834CF" w:rsidRDefault="00AE1DEB" w:rsidP="000033C6">
      <w:pPr>
        <w:pStyle w:val="3"/>
        <w:rPr>
          <w:iCs/>
        </w:rPr>
      </w:pPr>
      <w:r>
        <w:rPr>
          <w:iCs/>
        </w:rPr>
        <w:t xml:space="preserve">При применении препарата в соответствии с инструкцией по применению передозировка маловероятна. </w:t>
      </w:r>
      <w:r w:rsidR="00B55134">
        <w:rPr>
          <w:iCs/>
        </w:rPr>
        <w:t xml:space="preserve">При случайном приеме препарата внутрь возможны: головокружение, головная боль, тошнота, рвота, </w:t>
      </w:r>
      <w:proofErr w:type="spellStart"/>
      <w:r w:rsidR="00B55134">
        <w:rPr>
          <w:iCs/>
        </w:rPr>
        <w:t>гастралгия</w:t>
      </w:r>
      <w:proofErr w:type="spellEnd"/>
      <w:r w:rsidR="00B55134">
        <w:rPr>
          <w:iCs/>
        </w:rPr>
        <w:t>, нарушение функций сердечно-сосудистой с</w:t>
      </w:r>
      <w:r w:rsidR="000033C6">
        <w:rPr>
          <w:iCs/>
        </w:rPr>
        <w:t>и</w:t>
      </w:r>
      <w:r w:rsidR="00B55134">
        <w:rPr>
          <w:iCs/>
        </w:rPr>
        <w:t>стемы</w:t>
      </w:r>
      <w:r w:rsidR="000033C6">
        <w:rPr>
          <w:iCs/>
        </w:rPr>
        <w:t xml:space="preserve">, стимуляция или угнетение центральной нервной системы, нарушение зрения, циркуляторный коллапс, шок, в том числе с летальным исходом. </w:t>
      </w:r>
    </w:p>
    <w:p w:rsidR="000033C6" w:rsidRPr="000033C6" w:rsidRDefault="000033C6" w:rsidP="000033C6">
      <w:pPr>
        <w:pStyle w:val="3"/>
        <w:rPr>
          <w:iCs/>
        </w:rPr>
      </w:pPr>
      <w:r>
        <w:rPr>
          <w:iCs/>
        </w:rPr>
        <w:t xml:space="preserve">Лечение: следует немедленно обратиться к врачу. Рекомендуется промывание желудка, прием активированного угля, при необходимости – симптоматическая терапия. </w:t>
      </w:r>
    </w:p>
    <w:p w:rsidR="00A777E4" w:rsidRPr="00A777E4" w:rsidRDefault="00A777E4" w:rsidP="000033C6">
      <w:pPr>
        <w:pStyle w:val="3"/>
        <w:rPr>
          <w:b/>
          <w:iCs/>
        </w:rPr>
      </w:pPr>
      <w:r w:rsidRPr="00A777E4">
        <w:rPr>
          <w:b/>
          <w:iCs/>
        </w:rPr>
        <w:t>Взаимодействие с другими лекарственными средствами</w:t>
      </w:r>
    </w:p>
    <w:p w:rsidR="000033C6" w:rsidRPr="000033C6" w:rsidRDefault="000033C6" w:rsidP="000033C6">
      <w:pPr>
        <w:pStyle w:val="3"/>
        <w:rPr>
          <w:iCs/>
        </w:rPr>
      </w:pPr>
      <w:r>
        <w:rPr>
          <w:iCs/>
        </w:rPr>
        <w:t xml:space="preserve">При одновременном применении с препаратами для наружного применения, которые содержат органические соединения, могут образовываться новые соединения и наблюдаться денатурация белковых компонентов. </w:t>
      </w:r>
    </w:p>
    <w:p w:rsidR="0039133A" w:rsidRPr="0039133A" w:rsidRDefault="0039133A" w:rsidP="000033C6">
      <w:pPr>
        <w:pStyle w:val="3"/>
        <w:rPr>
          <w:b/>
          <w:iCs/>
        </w:rPr>
      </w:pPr>
      <w:r w:rsidRPr="0039133A">
        <w:rPr>
          <w:b/>
          <w:iCs/>
        </w:rPr>
        <w:t>Особые указания.</w:t>
      </w:r>
    </w:p>
    <w:p w:rsidR="000033C6" w:rsidRPr="000033C6" w:rsidRDefault="000033C6" w:rsidP="000033C6">
      <w:pPr>
        <w:pStyle w:val="3"/>
        <w:rPr>
          <w:iCs/>
        </w:rPr>
      </w:pPr>
      <w:r>
        <w:rPr>
          <w:iCs/>
        </w:rPr>
        <w:t xml:space="preserve">Не допускается </w:t>
      </w:r>
      <w:r w:rsidR="00AE1DEB">
        <w:rPr>
          <w:iCs/>
        </w:rPr>
        <w:t>попадания</w:t>
      </w:r>
      <w:r>
        <w:rPr>
          <w:iCs/>
        </w:rPr>
        <w:t xml:space="preserve"> препарата на слизистые оболочки</w:t>
      </w:r>
      <w:r w:rsidR="00AE1DEB">
        <w:rPr>
          <w:iCs/>
        </w:rPr>
        <w:t>, раны</w:t>
      </w:r>
      <w:r>
        <w:rPr>
          <w:iCs/>
        </w:rPr>
        <w:t>.</w:t>
      </w:r>
      <w:r w:rsidR="00AE1DEB">
        <w:rPr>
          <w:iCs/>
        </w:rPr>
        <w:t xml:space="preserve"> При попадании препарата в глаза, следует тщательно промыть их обильно водой. После нанесения препарата необходимо вымыть руки. </w:t>
      </w:r>
    </w:p>
    <w:p w:rsidR="0039133A" w:rsidRPr="0039133A" w:rsidRDefault="0039133A" w:rsidP="000033C6">
      <w:pPr>
        <w:pStyle w:val="3"/>
        <w:rPr>
          <w:b/>
          <w:iCs/>
        </w:rPr>
      </w:pPr>
      <w:r w:rsidRPr="0039133A">
        <w:rPr>
          <w:b/>
          <w:iCs/>
        </w:rPr>
        <w:t>Влияние на способность управлять транспортными средствами и механизмами.</w:t>
      </w:r>
    </w:p>
    <w:p w:rsidR="000033C6" w:rsidRPr="000033C6" w:rsidRDefault="00AE72AA" w:rsidP="000033C6">
      <w:pPr>
        <w:pStyle w:val="3"/>
        <w:rPr>
          <w:iCs/>
        </w:rPr>
      </w:pPr>
      <w:r>
        <w:rPr>
          <w:iCs/>
        </w:rPr>
        <w:t>Применение препарата не влияет</w:t>
      </w:r>
      <w:r w:rsidR="0039133A">
        <w:rPr>
          <w:iCs/>
        </w:rPr>
        <w:t xml:space="preserve"> на </w:t>
      </w:r>
      <w:r w:rsidR="00AE1DEB">
        <w:rPr>
          <w:iCs/>
        </w:rPr>
        <w:t>способность управлять</w:t>
      </w:r>
      <w:r w:rsidR="0039133A">
        <w:rPr>
          <w:iCs/>
        </w:rPr>
        <w:t xml:space="preserve"> транспортными средствами </w:t>
      </w:r>
      <w:r w:rsidR="00AE1DEB">
        <w:rPr>
          <w:iCs/>
        </w:rPr>
        <w:t>или заниматься</w:t>
      </w:r>
      <w:r>
        <w:rPr>
          <w:iCs/>
        </w:rPr>
        <w:t xml:space="preserve"> другими </w:t>
      </w:r>
      <w:r w:rsidR="0039133A">
        <w:rPr>
          <w:iCs/>
        </w:rPr>
        <w:t>потенциально опасными видами деятельности</w:t>
      </w:r>
      <w:r w:rsidR="00AE1DEB">
        <w:rPr>
          <w:iCs/>
        </w:rPr>
        <w:t xml:space="preserve">, требующими повышенной концентрации внимания и быстроты психомоторных реакций. </w:t>
      </w:r>
      <w:r>
        <w:rPr>
          <w:iCs/>
        </w:rPr>
        <w:t xml:space="preserve"> </w:t>
      </w:r>
    </w:p>
    <w:p w:rsidR="00DA2B59" w:rsidRPr="00EA3780" w:rsidRDefault="00DA2B59" w:rsidP="000033C6">
      <w:pPr>
        <w:pStyle w:val="3"/>
        <w:rPr>
          <w:b/>
          <w:iCs/>
          <w:color w:val="auto"/>
        </w:rPr>
      </w:pPr>
      <w:r w:rsidRPr="00EA3780">
        <w:rPr>
          <w:b/>
          <w:iCs/>
          <w:color w:val="auto"/>
        </w:rPr>
        <w:t>Форма выпуска</w:t>
      </w:r>
    </w:p>
    <w:p w:rsidR="00154998" w:rsidRDefault="00154998" w:rsidP="003C4E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Раствор для наружного применения спиртовой 1,4 %.</w:t>
      </w:r>
    </w:p>
    <w:p w:rsidR="00154998" w:rsidRPr="00756A22" w:rsidRDefault="00154998" w:rsidP="0015499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 мл, 50 мл или 100 мл во флаконы из полиэтилена или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поли</w:t>
      </w: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>этилентерфталата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укупоренные полиэтиленовыми крышками. </w:t>
      </w: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мл, 30 мл, 40 мл, 50 мл или 100 мл </w:t>
      </w: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>во флаконы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оранжевого стекла, укупоренные полиэтиленовыми пробками и навинчивающимися крышками. Допускается </w:t>
      </w: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>комплектация флаконов 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полиэтилена или</w:t>
      </w: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лиэтилентерфталата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флаконов </w:t>
      </w: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>оран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жевого стекла вместе с насадкой-распылителем</w:t>
      </w: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4998" w:rsidRPr="00756A22" w:rsidRDefault="00154998" w:rsidP="0015499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>Каждый флакон вместе с инструкцией по медицинскому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применению </w:t>
      </w:r>
      <w:r w:rsidRPr="00756A22">
        <w:rPr>
          <w:rFonts w:ascii="Times New Roman" w:hAnsi="Times New Roman" w:cs="Times New Roman"/>
          <w:color w:val="000000" w:themeColor="text1"/>
          <w:sz w:val="24"/>
          <w:szCs w:val="24"/>
        </w:rPr>
        <w:t>помещают в пачку из картона.</w:t>
      </w:r>
    </w:p>
    <w:p w:rsidR="00154998" w:rsidRDefault="00154998" w:rsidP="00154998">
      <w:pPr>
        <w:pStyle w:val="3"/>
        <w:rPr>
          <w:color w:val="000000" w:themeColor="text1"/>
        </w:rPr>
      </w:pPr>
      <w:r w:rsidRPr="00A914D5">
        <w:rPr>
          <w:color w:val="000000" w:themeColor="text1"/>
        </w:rPr>
        <w:t>50, 60, 80, 100, 140, 150, 200 флаконов по 25 мл, 30 мл, 40 мл; 30, 50, 80, 100, 120, 140 флаконов по 50 мл и 100 мл вместе с равным количеством инструкций по применению п</w:t>
      </w:r>
      <w:r>
        <w:rPr>
          <w:color w:val="000000" w:themeColor="text1"/>
        </w:rPr>
        <w:t>омещают в коробку из картона («Д</w:t>
      </w:r>
      <w:r w:rsidRPr="00A914D5">
        <w:rPr>
          <w:color w:val="000000" w:themeColor="text1"/>
        </w:rPr>
        <w:t>ля стационаров»).</w:t>
      </w:r>
    </w:p>
    <w:p w:rsidR="00DA2B59" w:rsidRPr="00D152E7" w:rsidRDefault="00DA2B59" w:rsidP="00154998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6A2275" w:rsidRDefault="00EA3780" w:rsidP="000033C6">
      <w:pPr>
        <w:pStyle w:val="3"/>
        <w:rPr>
          <w:iCs/>
        </w:rPr>
      </w:pPr>
      <w:r>
        <w:rPr>
          <w:iCs/>
        </w:rPr>
        <w:t>В</w:t>
      </w:r>
      <w:r w:rsidR="00DA2B59" w:rsidRPr="00D152E7">
        <w:rPr>
          <w:iCs/>
        </w:rPr>
        <w:t xml:space="preserve"> защищенном от света ме</w:t>
      </w:r>
      <w:r w:rsidR="00FC70B3">
        <w:rPr>
          <w:iCs/>
        </w:rPr>
        <w:t>сте</w:t>
      </w:r>
      <w:r w:rsidR="006A2275">
        <w:rPr>
          <w:iCs/>
        </w:rPr>
        <w:t xml:space="preserve"> при температуре </w:t>
      </w:r>
      <w:r w:rsidR="00617E5E">
        <w:rPr>
          <w:iCs/>
        </w:rPr>
        <w:t xml:space="preserve">не выше 25 </w:t>
      </w:r>
      <w:r w:rsidR="00DA2B59">
        <w:rPr>
          <w:iCs/>
        </w:rPr>
        <w:t>°</w:t>
      </w:r>
      <w:r w:rsidR="00DA2B59" w:rsidRPr="00D152E7">
        <w:rPr>
          <w:iCs/>
        </w:rPr>
        <w:t xml:space="preserve">С. </w:t>
      </w:r>
    </w:p>
    <w:p w:rsidR="000033C6" w:rsidRPr="000033C6" w:rsidRDefault="00DA2B59" w:rsidP="000033C6">
      <w:pPr>
        <w:pStyle w:val="3"/>
        <w:rPr>
          <w:iCs/>
        </w:rPr>
      </w:pPr>
      <w:r w:rsidRPr="00D152E7">
        <w:rPr>
          <w:iCs/>
        </w:rPr>
        <w:t>Хранить в недоступном для детей месте.</w:t>
      </w:r>
    </w:p>
    <w:p w:rsidR="00DA2B59" w:rsidRPr="00D152E7" w:rsidRDefault="00DA2B59" w:rsidP="000033C6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0033C6" w:rsidRPr="000033C6" w:rsidRDefault="000033C6" w:rsidP="000033C6">
      <w:pPr>
        <w:pStyle w:val="3"/>
        <w:rPr>
          <w:iCs/>
        </w:rPr>
      </w:pPr>
      <w:r>
        <w:rPr>
          <w:iCs/>
        </w:rPr>
        <w:t>3</w:t>
      </w:r>
      <w:r w:rsidR="00DA2B59" w:rsidRPr="00D152E7">
        <w:rPr>
          <w:iCs/>
        </w:rPr>
        <w:t xml:space="preserve"> года. Не </w:t>
      </w:r>
      <w:r w:rsidR="00DE2DD7">
        <w:rPr>
          <w:iCs/>
        </w:rPr>
        <w:t>использовать по истечении срока годности</w:t>
      </w:r>
      <w:r w:rsidR="00DA2B59" w:rsidRPr="00D152E7">
        <w:rPr>
          <w:iCs/>
        </w:rPr>
        <w:t xml:space="preserve">. </w:t>
      </w:r>
    </w:p>
    <w:p w:rsidR="00DA2B59" w:rsidRPr="00D152E7" w:rsidRDefault="00DA2B59" w:rsidP="000033C6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  <w:r w:rsidR="006A2275">
        <w:rPr>
          <w:b/>
          <w:iCs/>
        </w:rPr>
        <w:t xml:space="preserve"> из аптек</w:t>
      </w:r>
    </w:p>
    <w:p w:rsidR="004834CF" w:rsidRPr="000033C6" w:rsidRDefault="00FC70B3" w:rsidP="000033C6">
      <w:pPr>
        <w:pStyle w:val="3"/>
        <w:rPr>
          <w:iCs/>
        </w:rPr>
      </w:pPr>
      <w:r>
        <w:rPr>
          <w:iCs/>
        </w:rPr>
        <w:t>Без рецепта</w:t>
      </w:r>
      <w:r w:rsidR="00DA2B59" w:rsidRPr="00D152E7">
        <w:rPr>
          <w:iCs/>
        </w:rPr>
        <w:t>.</w:t>
      </w:r>
    </w:p>
    <w:p w:rsidR="00DA2B59" w:rsidRDefault="00DA2B59" w:rsidP="000033C6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претензии:</w:t>
      </w:r>
    </w:p>
    <w:p w:rsidR="00DA2B59" w:rsidRPr="00B2511A" w:rsidRDefault="00DA2B59" w:rsidP="000033C6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АО «Усолье-Сибирский </w:t>
      </w:r>
      <w:proofErr w:type="spellStart"/>
      <w:r w:rsidRPr="00B2511A">
        <w:rPr>
          <w:szCs w:val="23"/>
        </w:rPr>
        <w:t>Химфармзавод</w:t>
      </w:r>
      <w:proofErr w:type="spellEnd"/>
      <w:r w:rsidRPr="00B2511A">
        <w:rPr>
          <w:szCs w:val="23"/>
        </w:rPr>
        <w:t xml:space="preserve">» </w:t>
      </w:r>
    </w:p>
    <w:p w:rsidR="00DA2B59" w:rsidRPr="00B2511A" w:rsidRDefault="00DA2B59" w:rsidP="000033C6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</w:t>
      </w:r>
      <w:proofErr w:type="spellStart"/>
      <w:r w:rsidRPr="00B2511A">
        <w:rPr>
          <w:szCs w:val="23"/>
        </w:rPr>
        <w:t>г.Усолье</w:t>
      </w:r>
      <w:proofErr w:type="spellEnd"/>
      <w:r w:rsidRPr="00B2511A">
        <w:rPr>
          <w:szCs w:val="23"/>
        </w:rPr>
        <w:t xml:space="preserve">-Сибирское, северо-западная часть города, с северо-восточной стороны, в 115 м от Прибайкальской автодороги. </w:t>
      </w:r>
    </w:p>
    <w:p w:rsidR="00DA2B59" w:rsidRPr="00B2511A" w:rsidRDefault="00DA2B59" w:rsidP="000033C6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4"/>
        </w:rPr>
      </w:pPr>
      <w:r w:rsidRPr="00B2511A">
        <w:rPr>
          <w:rFonts w:ascii="Times New Roman" w:hAnsi="Times New Roman"/>
          <w:sz w:val="24"/>
          <w:szCs w:val="23"/>
        </w:rPr>
        <w:t>тел./факс: (39543) 5-89-10, 5-89-08</w:t>
      </w:r>
    </w:p>
    <w:p w:rsidR="00DA2B59" w:rsidRDefault="00DA2B59" w:rsidP="000033C6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0033C6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0033C6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0033C6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Pr="00B2511A" w:rsidRDefault="00DA2B59" w:rsidP="000033C6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Генеральный директор</w:t>
      </w:r>
    </w:p>
    <w:p w:rsidR="00DA2B59" w:rsidRPr="00B2511A" w:rsidRDefault="00DA2B59" w:rsidP="000033C6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 xml:space="preserve">АО “Усолье-Сибирский </w:t>
      </w:r>
      <w:proofErr w:type="spellStart"/>
      <w:proofErr w:type="gramStart"/>
      <w:r w:rsidR="00AE72AA" w:rsidRPr="00380B89">
        <w:rPr>
          <w:rFonts w:ascii="Times New Roman" w:hAnsi="Times New Roman" w:cs="Times New Roman"/>
          <w:color w:val="000000" w:themeColor="text1"/>
          <w:sz w:val="24"/>
          <w:szCs w:val="24"/>
        </w:rPr>
        <w:t>химфармзавод</w:t>
      </w:r>
      <w:proofErr w:type="spellEnd"/>
      <w:r w:rsidR="00AE72AA" w:rsidRPr="00B2511A">
        <w:rPr>
          <w:rFonts w:ascii="Times New Roman" w:hAnsi="Times New Roman"/>
          <w:sz w:val="24"/>
          <w:szCs w:val="24"/>
        </w:rPr>
        <w:t xml:space="preserve"> </w:t>
      </w:r>
      <w:r w:rsidRPr="00B2511A">
        <w:rPr>
          <w:rFonts w:ascii="Times New Roman" w:hAnsi="Times New Roman"/>
          <w:sz w:val="24"/>
          <w:szCs w:val="24"/>
        </w:rPr>
        <w:t>”</w:t>
      </w:r>
      <w:proofErr w:type="gramEnd"/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proofErr w:type="spellStart"/>
      <w:r w:rsidRPr="00B2511A">
        <w:rPr>
          <w:rFonts w:ascii="Times New Roman" w:hAnsi="Times New Roman"/>
          <w:sz w:val="24"/>
          <w:szCs w:val="24"/>
        </w:rPr>
        <w:t>Тюстин</w:t>
      </w:r>
      <w:proofErr w:type="spellEnd"/>
      <w:r w:rsidRPr="00B2511A">
        <w:rPr>
          <w:rFonts w:ascii="Times New Roman" w:hAnsi="Times New Roman"/>
          <w:sz w:val="24"/>
          <w:szCs w:val="24"/>
        </w:rPr>
        <w:t xml:space="preserve"> С.В.</w:t>
      </w:r>
    </w:p>
    <w:p w:rsidR="00DA2B59" w:rsidRDefault="00DA2B59" w:rsidP="000033C6">
      <w:pPr>
        <w:spacing w:after="0" w:line="360" w:lineRule="auto"/>
      </w:pPr>
    </w:p>
    <w:sectPr w:rsidR="00DA2B59" w:rsidSect="005663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E4" w:rsidRDefault="00A777E4" w:rsidP="00566353">
      <w:pPr>
        <w:spacing w:after="0" w:line="240" w:lineRule="auto"/>
      </w:pPr>
      <w:r>
        <w:separator/>
      </w:r>
    </w:p>
  </w:endnote>
  <w:endnote w:type="continuationSeparator" w:id="0">
    <w:p w:rsidR="00A777E4" w:rsidRDefault="00A777E4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E4" w:rsidRDefault="00A777E4" w:rsidP="00566353">
      <w:pPr>
        <w:spacing w:after="0" w:line="240" w:lineRule="auto"/>
      </w:pPr>
      <w:r>
        <w:separator/>
      </w:r>
    </w:p>
  </w:footnote>
  <w:footnote w:type="continuationSeparator" w:id="0">
    <w:p w:rsidR="00A777E4" w:rsidRDefault="00A777E4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D54C21">
        <w:pPr>
          <w:pStyle w:val="a6"/>
          <w:jc w:val="right"/>
        </w:pPr>
        <w:r>
          <w:fldChar w:fldCharType="begin"/>
        </w:r>
        <w:r w:rsidR="00617E5E">
          <w:instrText xml:space="preserve"> PAGE   \* MERGEFORMAT </w:instrText>
        </w:r>
        <w:r>
          <w:fldChar w:fldCharType="separate"/>
        </w:r>
        <w:r w:rsidR="00181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B59"/>
    <w:rsid w:val="000033C6"/>
    <w:rsid w:val="00104688"/>
    <w:rsid w:val="00154998"/>
    <w:rsid w:val="00155AD7"/>
    <w:rsid w:val="00181ACE"/>
    <w:rsid w:val="001F2D5C"/>
    <w:rsid w:val="00285481"/>
    <w:rsid w:val="00285A94"/>
    <w:rsid w:val="0039133A"/>
    <w:rsid w:val="003C4E6C"/>
    <w:rsid w:val="003E02A7"/>
    <w:rsid w:val="004834CF"/>
    <w:rsid w:val="004A708F"/>
    <w:rsid w:val="00540A28"/>
    <w:rsid w:val="00566353"/>
    <w:rsid w:val="005C411D"/>
    <w:rsid w:val="005D5976"/>
    <w:rsid w:val="00617E5E"/>
    <w:rsid w:val="00622285"/>
    <w:rsid w:val="006A2275"/>
    <w:rsid w:val="007274E9"/>
    <w:rsid w:val="007941DD"/>
    <w:rsid w:val="007E0176"/>
    <w:rsid w:val="008B409C"/>
    <w:rsid w:val="008D058B"/>
    <w:rsid w:val="00921EAD"/>
    <w:rsid w:val="009745E0"/>
    <w:rsid w:val="00A777E4"/>
    <w:rsid w:val="00AB73F1"/>
    <w:rsid w:val="00AE1DEB"/>
    <w:rsid w:val="00AE660A"/>
    <w:rsid w:val="00AE72AA"/>
    <w:rsid w:val="00B11C6A"/>
    <w:rsid w:val="00B55134"/>
    <w:rsid w:val="00C214F0"/>
    <w:rsid w:val="00C25C26"/>
    <w:rsid w:val="00CF7EFB"/>
    <w:rsid w:val="00D40E28"/>
    <w:rsid w:val="00D54C21"/>
    <w:rsid w:val="00D95545"/>
    <w:rsid w:val="00DA2B59"/>
    <w:rsid w:val="00DA679A"/>
    <w:rsid w:val="00DB1403"/>
    <w:rsid w:val="00DE2DD7"/>
    <w:rsid w:val="00E32B3D"/>
    <w:rsid w:val="00E85C17"/>
    <w:rsid w:val="00EA3780"/>
    <w:rsid w:val="00FC70B3"/>
    <w:rsid w:val="00FD68AC"/>
    <w:rsid w:val="00FD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F7A4D-F114-4EA8-A250-4A3007D4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E9"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04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user</cp:lastModifiedBy>
  <cp:revision>19</cp:revision>
  <cp:lastPrinted>2019-05-17T10:55:00Z</cp:lastPrinted>
  <dcterms:created xsi:type="dcterms:W3CDTF">2017-09-13T09:42:00Z</dcterms:created>
  <dcterms:modified xsi:type="dcterms:W3CDTF">2019-05-17T10:55:00Z</dcterms:modified>
</cp:coreProperties>
</file>